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E3DBBE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项目支出，薪酬方案，报税主体，规则收费，商保方案，规则通告 的日期是否需要根据</w:t>
      </w:r>
    </w:p>
    <w:p w14:paraId="7599DFF0">
      <w:bookmarkStart w:id="0" w:name="_GoBack"/>
      <w:bookmarkEnd w:id="0"/>
      <w:r>
        <w:rPr>
          <w:rFonts w:hint="eastAsia"/>
          <w:lang w:val="en-US" w:eastAsia="zh-CN"/>
        </w:rPr>
        <w:t>结算规则 的生效截至日期进行卡控</w:t>
      </w:r>
    </w:p>
    <w:p w14:paraId="70E38669">
      <w:r>
        <w:drawing>
          <wp:inline distT="0" distB="0" distL="114300" distR="114300">
            <wp:extent cx="5255260" cy="2844800"/>
            <wp:effectExtent l="0" t="0" r="254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5260" cy="284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0EF29C">
      <w:r>
        <w:drawing>
          <wp:inline distT="0" distB="0" distL="114300" distR="114300">
            <wp:extent cx="5265420" cy="3641090"/>
            <wp:effectExtent l="0" t="0" r="1905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364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4FB21E">
      <w:r>
        <w:drawing>
          <wp:inline distT="0" distB="0" distL="114300" distR="114300">
            <wp:extent cx="5267960" cy="3219450"/>
            <wp:effectExtent l="0" t="0" r="889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C54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2025-09-04T10:06:01Z</dcterms:created>
  <dc:creator>Lian</dc:creator>
  <cp:lastModifiedBy>黎安</cp:lastModifiedBy>
  <dcterms:modified xsi:type="dcterms:W3CDTF">2025-09-04T10:19:38Z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5A24C57AF09844A1BA877366D72C11E1_12</vt:lpwstr>
  </property>
</Properties>
</file>